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5AC" w:rsidRPr="00B165AC" w:rsidRDefault="00B165AC" w:rsidP="00B165AC">
      <w:pPr>
        <w:spacing w:after="0" w:line="240" w:lineRule="auto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B165AC">
        <w:rPr>
          <w:rFonts w:ascii="Century Gothic" w:hAnsi="Century Gothic"/>
          <w:b/>
          <w:sz w:val="20"/>
          <w:szCs w:val="20"/>
        </w:rPr>
        <w:t>Приложение 1.10.3. Обобщени резултати на екологичното състояние на реките и езерата в НП-Рила</w:t>
      </w:r>
    </w:p>
    <w:p w:rsidR="00B165AC" w:rsidRPr="00B165AC" w:rsidRDefault="00B165AC" w:rsidP="00B165AC">
      <w:pPr>
        <w:spacing w:after="0" w:line="240" w:lineRule="auto"/>
        <w:jc w:val="both"/>
        <w:textAlignment w:val="baseline"/>
        <w:rPr>
          <w:rFonts w:ascii="Century Gothic" w:hAnsi="Century Gothic"/>
          <w:sz w:val="20"/>
          <w:szCs w:val="20"/>
        </w:rPr>
      </w:pPr>
    </w:p>
    <w:p w:rsidR="00B165AC" w:rsidRPr="00B165AC" w:rsidRDefault="00B165AC" w:rsidP="00B165AC">
      <w:pPr>
        <w:spacing w:before="120"/>
        <w:rPr>
          <w:rFonts w:ascii="Century Gothic" w:hAnsi="Century Gothic"/>
          <w:sz w:val="20"/>
          <w:szCs w:val="20"/>
        </w:rPr>
      </w:pPr>
      <w:r w:rsidRPr="00B165AC">
        <w:rPr>
          <w:rFonts w:ascii="Century Gothic" w:hAnsi="Century Gothic"/>
          <w:b/>
          <w:sz w:val="20"/>
          <w:szCs w:val="20"/>
        </w:rPr>
        <w:t>Табл. 1.10.3 - 1</w:t>
      </w:r>
      <w:r w:rsidRPr="00B165AC">
        <w:rPr>
          <w:rFonts w:ascii="Century Gothic" w:hAnsi="Century Gothic"/>
          <w:sz w:val="20"/>
          <w:szCs w:val="20"/>
        </w:rPr>
        <w:t xml:space="preserve"> Избрани речни пунктове за изследване на хидрохимия и хидробиология в НП-Рила</w:t>
      </w:r>
    </w:p>
    <w:tbl>
      <w:tblPr>
        <w:tblW w:w="14473" w:type="dxa"/>
        <w:tblInd w:w="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75"/>
        <w:gridCol w:w="851"/>
        <w:gridCol w:w="2268"/>
        <w:gridCol w:w="1134"/>
        <w:gridCol w:w="1134"/>
        <w:gridCol w:w="1276"/>
        <w:gridCol w:w="992"/>
        <w:gridCol w:w="992"/>
        <w:gridCol w:w="1418"/>
        <w:gridCol w:w="2693"/>
      </w:tblGrid>
      <w:tr w:rsidR="00B165AC" w:rsidRPr="00B165AC" w:rsidTr="00297CFE">
        <w:trPr>
          <w:trHeight w:val="900"/>
          <w:tblHeader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  <w:t>Река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  <w:t>Поречие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  <w:t>Пункт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  <w:t>Макрофитна флора</w:t>
            </w:r>
            <w:r w:rsidRPr="00B165AC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val="en-US" w:eastAsia="bg-BG"/>
              </w:rPr>
              <w:t xml:space="preserve"> / РИ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val="en-US" w:eastAsia="bg-BG"/>
              </w:rPr>
            </w:pPr>
            <w:r w:rsidRPr="00B165AC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  <w:t>Фитобентос/ Индекс IPS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  <w:t>Макро-зообентос / БИ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  <w:t>Риби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  <w:t>Физико-химия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  <w:t>Обща оценка на екол. състояние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  <w:t>Коментари</w:t>
            </w:r>
          </w:p>
        </w:tc>
      </w:tr>
      <w:tr w:rsidR="00B165AC" w:rsidRPr="00B165AC" w:rsidTr="00297CFE">
        <w:trPr>
          <w:trHeight w:val="15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Черни Искър (Прави Искър)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Искър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Граница на НП-Рила, след х. Вада, при вливане на Урдина река и преди вливане на Мальовишка река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Отлично ЕС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19.5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БИ=5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Добро ЕС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Типично отлично екологично състояние. Участъкът е изкуствено зарибяван с балк. пъстърва и се използва са спортен риболов. Регистрирани са консервационните видове – главоч (</w:t>
            </w:r>
            <w:r w:rsidRPr="00B165AC">
              <w:rPr>
                <w:rFonts w:ascii="Century Gothic" w:eastAsia="Times New Roman" w:hAnsi="Century Gothic"/>
                <w:i/>
                <w:color w:val="000000"/>
                <w:sz w:val="20"/>
                <w:szCs w:val="20"/>
                <w:lang w:eastAsia="bg-BG"/>
              </w:rPr>
              <w:t>Cottus gobio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) от рибите; и кавказка тоция (</w:t>
            </w:r>
            <w:r w:rsidRPr="00B165AC">
              <w:rPr>
                <w:rFonts w:ascii="Century Gothic" w:eastAsia="Times New Roman" w:hAnsi="Century Gothic"/>
                <w:i/>
                <w:color w:val="000000"/>
                <w:sz w:val="20"/>
                <w:szCs w:val="20"/>
                <w:lang w:eastAsia="bg-BG"/>
              </w:rPr>
              <w:t>Tozzia carpathica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) от МФ.</w:t>
            </w:r>
          </w:p>
        </w:tc>
      </w:tr>
      <w:tr w:rsidR="00B165AC" w:rsidRPr="00B165AC" w:rsidTr="00297CFE">
        <w:trPr>
          <w:trHeight w:val="12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Бели Искър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Искър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между яз. Бели Искър и с. Бели Искър (в ЦРР – Централен Рилски Резерват)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19.9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БИ=5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Добро ЕС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Участъкът е фрагментиран от напречни бариери (водохващания, водопади и яз. Бели Искър) – въпреки това поддържа доста добра популация на балк. пъстърва (вероятни зарибявания).</w:t>
            </w:r>
          </w:p>
        </w:tc>
      </w:tr>
      <w:tr w:rsidR="00B165AC" w:rsidRPr="00B165AC" w:rsidTr="00297CFE">
        <w:trPr>
          <w:trHeight w:val="12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Мусаленска Бистрица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Искър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След границата на НП-Рила , преди Боровец (преди "Царска Бистрица Палас")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МФ недостиг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19.5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БИ=5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Добро ЕС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Отлично екол. състояние, като пъстървата е със сравнително добра численост и биомаса и различни размерни групи. Популацията е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lastRenderedPageBreak/>
              <w:t>съставена от индивиди с местен произход.</w:t>
            </w:r>
          </w:p>
        </w:tc>
      </w:tr>
      <w:tr w:rsidR="00B165AC" w:rsidRPr="00B165AC" w:rsidTr="00297CFE">
        <w:trPr>
          <w:trHeight w:val="6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lastRenderedPageBreak/>
              <w:t>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Марица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Марица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сред х. Марица (след стар ХМС пункт, кота 1200)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19.9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БИ=5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Лошо ЕС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Добро ЕС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Пунктът е поставен условно в добро ЕС, заради рибната фауна (без да се прилага принципа за най-лошата оценка – „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one out – all out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”)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. </w:t>
            </w:r>
            <w:proofErr w:type="spellStart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Следи</w:t>
            </w:r>
            <w:proofErr w:type="spellEnd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proofErr w:type="spellStart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от</w:t>
            </w:r>
            <w:proofErr w:type="spellEnd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proofErr w:type="spellStart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бракониерство</w:t>
            </w:r>
            <w:proofErr w:type="spellEnd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 в </w:t>
            </w:r>
            <w:proofErr w:type="spellStart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пункта</w:t>
            </w:r>
            <w:proofErr w:type="spellEnd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. </w:t>
            </w:r>
            <w:proofErr w:type="spellStart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Голяма</w:t>
            </w:r>
            <w:proofErr w:type="spellEnd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proofErr w:type="spellStart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река</w:t>
            </w:r>
            <w:proofErr w:type="spellEnd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proofErr w:type="spellStart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със</w:t>
            </w:r>
            <w:proofErr w:type="spellEnd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значим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proofErr w:type="spellStart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потенциал</w:t>
            </w:r>
            <w:proofErr w:type="spellEnd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 за рибна фауна въпреки съществуващите бариери (водохващания кота 1900 и кота 1200 на НЕК, водопади)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. </w:t>
            </w:r>
            <w:proofErr w:type="spellStart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Всички</w:t>
            </w:r>
            <w:proofErr w:type="spellEnd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proofErr w:type="spellStart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хванати</w:t>
            </w:r>
            <w:proofErr w:type="spellEnd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proofErr w:type="spellStart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риби</w:t>
            </w:r>
            <w:proofErr w:type="spellEnd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proofErr w:type="spellStart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са</w:t>
            </w:r>
            <w:proofErr w:type="spellEnd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proofErr w:type="spellStart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продукт</w:t>
            </w:r>
            <w:proofErr w:type="spellEnd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proofErr w:type="spellStart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на</w:t>
            </w:r>
            <w:proofErr w:type="spellEnd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изкуствено </w:t>
            </w:r>
            <w:proofErr w:type="spellStart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зарибяване</w:t>
            </w:r>
            <w:proofErr w:type="spellEnd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.</w:t>
            </w:r>
          </w:p>
        </w:tc>
      </w:tr>
      <w:tr w:rsidR="00B165AC" w:rsidRPr="00B165AC" w:rsidTr="00297CFE">
        <w:trPr>
          <w:trHeight w:val="12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Ибър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Марица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Преди границата на НП-Рила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19.7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БИ=5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Добро ЕС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Приема се за отлично ЕС, въпреки че популацията на балк. пъстърва се състои от дребни риби, продукт на изкуствени зарибявания. Речният участък е фрагментиран от големите водохващания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lastRenderedPageBreak/>
              <w:t>на НЕК ЯиК – на кота 1900 и на кота 1200 (където е границата на парка).</w:t>
            </w:r>
          </w:p>
        </w:tc>
      </w:tr>
      <w:tr w:rsidR="00B165AC" w:rsidRPr="00B165AC" w:rsidTr="00297CFE">
        <w:trPr>
          <w:trHeight w:val="9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lastRenderedPageBreak/>
              <w:t>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Чавча (Стара, Костенецка)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Марица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Преди границата на НП-Рила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19.5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БИ=5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Рибната фауна в пункта е в много добро състояние. Популацията на пъстървата е с добра численост и биомаса и различни размерни групи, съставена от индивиди с местен произход.</w:t>
            </w:r>
          </w:p>
        </w:tc>
      </w:tr>
      <w:tr w:rsidR="00B165AC" w:rsidRPr="00B165AC" w:rsidTr="00297CFE">
        <w:trPr>
          <w:trHeight w:val="779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Крива (Сестримска)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Марица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след яз. Белмекен; непосредствено след граница на НП-Рила, на пътя за Белмекен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18.7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БИ=4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Добро ЕС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B165AC" w:rsidRPr="00B165AC" w:rsidRDefault="00B165AC" w:rsidP="00297C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Добро ЕС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Приема се за добро ЕС. Популацията на пъстървата в пункта е малобройна, съставена от риби в две размерни групи. Речният участък е силно фрагментиран от язовири (Белмекен, Станкови бараки) и естествени водопади, които влияят негативно на състоянието на ихтиофауната и снижават силно количеството на МЗБ (без да влияят на индикаторите за отлично качество). Поради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lastRenderedPageBreak/>
              <w:t>бурното течение на реката пробонабирането е технически силно затруднено. Качеството на водите е високо и липсват замърсявания.</w:t>
            </w:r>
          </w:p>
        </w:tc>
      </w:tr>
      <w:tr w:rsidR="00B165AC" w:rsidRPr="00B165AC" w:rsidTr="00297CFE">
        <w:trPr>
          <w:trHeight w:val="778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lastRenderedPageBreak/>
              <w:t>8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Софаница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Места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граница на НП-Рила; при ГД-Софан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18.3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БИ=5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Добро ЕС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Отлично ЕС. Установена е ниска численост на пъстървата, която може да се дължи на скорошни порои, малко естествени укрития в проучвания участък или риболовна преса. Рибите, според са с местен произход. </w:t>
            </w:r>
          </w:p>
        </w:tc>
      </w:tr>
      <w:tr w:rsidR="00B165AC" w:rsidRPr="00B165AC" w:rsidTr="00297CFE">
        <w:trPr>
          <w:trHeight w:val="84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Леевщица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Места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След граница на НП-Рила; при ХМС - Лееве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19.3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БИ=5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Добро ЕС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ЕС. Невисока численост на балк. пъстърва, но основно с местен произход.</w:t>
            </w:r>
          </w:p>
        </w:tc>
      </w:tr>
      <w:tr w:rsidR="00B165AC" w:rsidRPr="00B165AC" w:rsidTr="00297CFE">
        <w:trPr>
          <w:trHeight w:val="15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Бела Места (Ропалица)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Места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Река Ропалица (Грънчарица) преди вливане на р. Казанишка, в НП-Рила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19.6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БИ=5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Запазена река с отлично ЕС. Пъстървите са разновъзрастни, като повечето риби са с местен произход, но има и такива, продукт на зарибяване. Рибната фауна е в добро състояние. В речното корито има следи от преминаването на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lastRenderedPageBreak/>
              <w:t>порои.</w:t>
            </w:r>
          </w:p>
        </w:tc>
      </w:tr>
      <w:tr w:rsidR="00B165AC" w:rsidRPr="00B165AC" w:rsidTr="00297CFE">
        <w:trPr>
          <w:trHeight w:val="12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lastRenderedPageBreak/>
              <w:t>11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Баненска (Голяма Баненска)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Места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Над Трещеник, в района на Нехтеница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19.9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БИ=5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Лошо ЕС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Добро ЕС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Реката при границата на НП-Рила се приема за добро ЕС, заради рибната фауна, която е силно повлияна от водохващането на НЕК ЯиК -няма рибен проход, и осушава  напълно реката. Всички </w:t>
            </w:r>
            <w:bookmarkStart w:id="0" w:name="OLE_LINK1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останали БЕК са в отлично ЕС</w:t>
            </w:r>
            <w:bookmarkEnd w:id="0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.</w:t>
            </w:r>
          </w:p>
        </w:tc>
      </w:tr>
      <w:tr w:rsidR="00B165AC" w:rsidRPr="00B165AC" w:rsidTr="00297CFE">
        <w:trPr>
          <w:trHeight w:val="12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Белишка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Места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след Семково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19.8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БИ=4.5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Много лошо ЕС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Умерено ЕС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ЕС е снижено изцяло заради рибната фауна (по експертно мнение), която е в много лошо ЕС, като трябва да се разследва конкретната причина за това (бракониерство, риболовна преса, миграционни бариери и др.). Останалите БЕК са в отлично ЕС, което показва липса на антропогенно замърсяване и високо качество на водата.</w:t>
            </w:r>
          </w:p>
        </w:tc>
      </w:tr>
      <w:tr w:rsidR="00B165AC" w:rsidRPr="00B165AC" w:rsidTr="00297CFE">
        <w:trPr>
          <w:trHeight w:val="15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lastRenderedPageBreak/>
              <w:t>13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Благоевградска Бистрица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Струма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преди граница с НП-Рила, след резерват "Парангалица" (над ски-курорт "Бодрост-Картала")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19.9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БИ=5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Добро ЕС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Реката е силно повлияна от водохващания, но въпреки силно намалените водни количества пъстървовата популация е в добро ЕС. Високо качество на водите без регистриране на замърсявания.</w:t>
            </w:r>
          </w:p>
        </w:tc>
      </w:tr>
      <w:tr w:rsidR="00B165AC" w:rsidRPr="00B165AC" w:rsidTr="00297CFE">
        <w:trPr>
          <w:trHeight w:val="15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Дупнишка Бистрица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Струма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преди граница с НП-Рила, след питейно водохващане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БИ=5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Добро ЕС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Рибната фауна е в добро състояние. Популацията на пъстървата е със сравнително добра численост и биомаса и различни размерни групи, съставена от индивиди с местен произход, въпреки наличието на различни бариери (естествени водопади и питейно водохващане).</w:t>
            </w:r>
          </w:p>
        </w:tc>
      </w:tr>
      <w:tr w:rsidR="00B165AC" w:rsidRPr="00B165AC" w:rsidTr="00297CFE">
        <w:trPr>
          <w:trHeight w:val="9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Отовица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Струма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при х. Отовица, на границата на НП-Рила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19.2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БИ=5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 на речния участък. Стабилна многочислена и разновъзрастова пъстървова популация – продукт на изкуствени зарибявания.</w:t>
            </w:r>
          </w:p>
        </w:tc>
      </w:tr>
      <w:tr w:rsidR="00B165AC" w:rsidRPr="00B165AC" w:rsidTr="00297CFE">
        <w:trPr>
          <w:trHeight w:val="9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lastRenderedPageBreak/>
              <w:t>16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Джерман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Струма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Граница на НП-Рила; след х. Ловна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19.8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БИ=5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Много лошо ЕС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Умерено ЕС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ЕС е снижен заради лошото състояние на рибната фауна (фрагментиране на речния участък – водохващания и водопади). Останалите БЕК са в отлично ЕС – чисти незамърсени води.</w:t>
            </w:r>
          </w:p>
        </w:tc>
      </w:tr>
      <w:tr w:rsidR="00B165AC" w:rsidRPr="00B165AC" w:rsidTr="00297CFE">
        <w:trPr>
          <w:trHeight w:val="416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Скакавица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Струма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Граница на НП-Рила; на пътя за х. Пионерска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19.4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БИ=5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Лошо ЕС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Добро ЕС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ЕС е снижен до добро ЕС заради състоянието на рибната фауна (фрагментиране на речния участък – водохващания). Останалите БЕК са в отлично ЕС – чисти незамърсени води.</w:t>
            </w:r>
          </w:p>
        </w:tc>
      </w:tr>
    </w:tbl>
    <w:p w:rsidR="00B165AC" w:rsidRPr="00B165AC" w:rsidRDefault="00B165AC" w:rsidP="00B165AC">
      <w:pPr>
        <w:spacing w:before="120"/>
        <w:jc w:val="both"/>
        <w:rPr>
          <w:rFonts w:ascii="Century Gothic" w:hAnsi="Century Gothic"/>
          <w:sz w:val="20"/>
          <w:szCs w:val="20"/>
        </w:rPr>
      </w:pPr>
      <w:r w:rsidRPr="00B165AC">
        <w:rPr>
          <w:rFonts w:ascii="Century Gothic" w:hAnsi="Century Gothic"/>
          <w:sz w:val="20"/>
          <w:szCs w:val="20"/>
          <w:u w:val="single"/>
        </w:rPr>
        <w:t>Забележка</w:t>
      </w:r>
      <w:r w:rsidRPr="00B165AC">
        <w:rPr>
          <w:rFonts w:ascii="Century Gothic" w:hAnsi="Century Gothic"/>
          <w:sz w:val="20"/>
          <w:szCs w:val="20"/>
        </w:rPr>
        <w:t>: Поради флуктуациите и значителните разминавания на двата рибни индекса за пъстървова зона, нормирани в Наредба Н-4 (поради честото присъствие само на един вид в уловите в пъстървовата зона) оценката по риби е направена по експертно мнение и има спомагателен характер (съпътстваща роля) при финалната оценка на екологичното състояние.</w:t>
      </w:r>
    </w:p>
    <w:p w:rsidR="00B165AC" w:rsidRPr="00B165AC" w:rsidRDefault="00B165AC" w:rsidP="00B165AC">
      <w:pPr>
        <w:spacing w:before="120"/>
        <w:rPr>
          <w:rFonts w:ascii="Century Gothic" w:hAnsi="Century Gothic"/>
          <w:sz w:val="20"/>
          <w:szCs w:val="20"/>
        </w:rPr>
      </w:pPr>
      <w:r w:rsidRPr="00B165AC">
        <w:rPr>
          <w:rFonts w:ascii="Century Gothic" w:hAnsi="Century Gothic"/>
          <w:b/>
          <w:sz w:val="20"/>
          <w:szCs w:val="20"/>
        </w:rPr>
        <w:br w:type="page"/>
      </w:r>
      <w:r w:rsidRPr="00B165AC">
        <w:rPr>
          <w:rFonts w:ascii="Century Gothic" w:hAnsi="Century Gothic"/>
          <w:b/>
          <w:sz w:val="20"/>
          <w:szCs w:val="20"/>
        </w:rPr>
        <w:lastRenderedPageBreak/>
        <w:t>Табл. 1.10</w:t>
      </w:r>
      <w:r>
        <w:rPr>
          <w:rFonts w:ascii="Century Gothic" w:hAnsi="Century Gothic"/>
          <w:b/>
          <w:sz w:val="20"/>
          <w:szCs w:val="20"/>
        </w:rPr>
        <w:t>.3 – 2.</w:t>
      </w:r>
      <w:r w:rsidRPr="00B165AC">
        <w:rPr>
          <w:rFonts w:ascii="Century Gothic" w:hAnsi="Century Gothic"/>
          <w:sz w:val="20"/>
          <w:szCs w:val="20"/>
        </w:rPr>
        <w:t xml:space="preserve"> Избрани езера за изследване на хидрохимия и хидробиология в НП-Рила</w:t>
      </w:r>
    </w:p>
    <w:tbl>
      <w:tblPr>
        <w:tblW w:w="14615" w:type="dxa"/>
        <w:tblInd w:w="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9"/>
        <w:gridCol w:w="1606"/>
        <w:gridCol w:w="1273"/>
        <w:gridCol w:w="1542"/>
        <w:gridCol w:w="1317"/>
        <w:gridCol w:w="1165"/>
        <w:gridCol w:w="1106"/>
        <w:gridCol w:w="1134"/>
        <w:gridCol w:w="992"/>
        <w:gridCol w:w="1418"/>
        <w:gridCol w:w="2693"/>
      </w:tblGrid>
      <w:tr w:rsidR="00B165AC" w:rsidRPr="00B165AC" w:rsidTr="00297CFE">
        <w:trPr>
          <w:trHeight w:val="900"/>
          <w:tblHeader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  <w:t>Езеро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  <w:t>Езерна група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  <w:t>Поречие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  <w:t>Фитопланктон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  <w:t>Макрофитна флора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  <w:t>Макрозообентос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  <w:t>Риби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  <w:t>Физико-химия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  <w:t>Обща оценка на екол. състояние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bg-BG"/>
              </w:rPr>
              <w:t>Коментари</w:t>
            </w:r>
          </w:p>
        </w:tc>
      </w:tr>
      <w:tr w:rsidR="00B165AC" w:rsidRPr="00B165AC" w:rsidTr="00297CFE">
        <w:trPr>
          <w:trHeight w:val="12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Голямата Паница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Урдини езера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река Урдина, Искър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Биомаса, mm3/l: 0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.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393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В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ГИ: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0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.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57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EQR: 0.99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9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н.п.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Зарибено;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Отлични условия за пъстървови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Вероятно ултра-олиготрофно езеро с почти липсваща антропогенна намеса, освен зарибявания и малко спортен риболов. Липсват МФ и МЗБ е представен от 1-2 таксона.</w:t>
            </w:r>
          </w:p>
        </w:tc>
      </w:tr>
      <w:tr w:rsidR="00B165AC" w:rsidRPr="00B165AC" w:rsidTr="00297CFE">
        <w:trPr>
          <w:trHeight w:val="9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Еленско езеро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Мальовишки / Еленски езера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река Мальовишка, Искър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Биомаса, mm3/l: 0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.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118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В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ГИ: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.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00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EQR: 0.99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8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н.п.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Зарибено;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Отлични условия за пъстървови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Ултра-олиготрофно езеро; Зарибено с пъстървови; МФ липсват. МЗБ е слабо представен.</w:t>
            </w:r>
          </w:p>
        </w:tc>
      </w:tr>
      <w:tr w:rsidR="00B165AC" w:rsidRPr="00B165AC" w:rsidTr="00297CFE">
        <w:trPr>
          <w:trHeight w:val="9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Страшното езеро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Прекоречки езера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Горна прека р., Искър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Биомаса, mm3/l: 0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.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132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В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ГИ: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.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01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EQR: 0.99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8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н.п.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н.п.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Зарибено;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Отлични условия за пъстървови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Вероятно ултра-олиготрофно езеро с почти липсваща антропогенна намеса, освен зарибявания и малко спортен риболов. МФ и МЗБ в литоралната зона липсват.</w:t>
            </w:r>
          </w:p>
        </w:tc>
      </w:tr>
      <w:tr w:rsidR="00B165AC" w:rsidRPr="00B165AC" w:rsidTr="00297CFE">
        <w:trPr>
          <w:trHeight w:val="6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Йончево езеро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Прекоречки езера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Средна прека р., Искър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Биомаса, mm3/l: 0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.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098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В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ГИ: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0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.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92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EQR: 0.99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8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Добро ЕС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н.п.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Зарибено;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Отлични условия за пъстървов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lastRenderedPageBreak/>
              <w:t>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lastRenderedPageBreak/>
              <w:t>Отлично 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Езеро със сравнително интензивен туризъм и активен риболов. Приема се за отлично ЕС въпреки започващи процеси на развитие на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lastRenderedPageBreak/>
              <w:t>водни МФ обраствания в плитките части.</w:t>
            </w:r>
          </w:p>
        </w:tc>
      </w:tr>
      <w:tr w:rsidR="00B165AC" w:rsidRPr="00B165AC" w:rsidTr="00297CFE">
        <w:trPr>
          <w:trHeight w:val="9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lastRenderedPageBreak/>
              <w:t>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Йозола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Левоискърски езера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Приток на Леви Искър, Искър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Биомаса, mm3/l: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0.226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ВГИ: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 0.92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EQR: 0.998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Зарибено;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Отлични условия за пъстървови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Много слабо посещавано езеро в ЦРР. В предната плитка част е започнало развитието на известни обраствания с МФ и натрупване на фин детрит. Съществува монтирана дълга тръба на дъното на езерото – в миналото вероятно за резервно водоснабдяване! </w:t>
            </w:r>
          </w:p>
        </w:tc>
      </w:tr>
      <w:tr w:rsidR="00B165AC" w:rsidRPr="00B165AC" w:rsidTr="00297CFE">
        <w:trPr>
          <w:trHeight w:val="6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яз. Бели Искър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нп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Бели Искър, Искър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Биомаса, mm3/l: 0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.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031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В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ГИ: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0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.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98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EQR: 0.99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8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н.п.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н.п.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Зарибено;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Отлични условия за пъстървови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Максимален ЕП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Максимален ЕП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Язовир с много високо качество на водите. Приема се за отличен ЕП (основно по ФП). МФ и МЗБ са непредставителни за язовира, който е със силно вариращо ниво.</w:t>
            </w:r>
          </w:p>
        </w:tc>
      </w:tr>
      <w:tr w:rsidR="00B165AC" w:rsidRPr="00B165AC" w:rsidTr="00297CFE">
        <w:trPr>
          <w:trHeight w:val="9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Пето Мусаленско ез. (Каракашево ез.)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Мусаленски езера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Мусаленска Бистрица, Искър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Биомаса, mm3/l: 0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.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145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В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ГИ: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0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.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98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EQR: 0.99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н.п.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н.п.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Зарибено;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Отлични условия за пъстървови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Ултра-олиготрофни условия; Зарибено с пъстървови; Отлично ЕС по ФП; МФ и МЗБ практически липсват в литоралната зона;</w:t>
            </w:r>
          </w:p>
        </w:tc>
      </w:tr>
      <w:tr w:rsidR="00B165AC" w:rsidRPr="00B165AC" w:rsidTr="00297CFE">
        <w:trPr>
          <w:trHeight w:val="9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lastRenderedPageBreak/>
              <w:t>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Седмо Мусаленско ез.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Мусаленски езера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Мусаленска Бистрица, Искър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Биомаса, mm3/l: 0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.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029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В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ГИ: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.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01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EQR: 0.99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н.п.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н.п.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Зарибено;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Отлични условия за пъстървови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Ултра-олиготрофни условия; Зарибено с пъстървови; Отлично ЕС по ФП; МФ и МЗБ практически липсват в литоралната зона;</w:t>
            </w:r>
          </w:p>
        </w:tc>
      </w:tr>
      <w:tr w:rsidR="00B165AC" w:rsidRPr="00B165AC" w:rsidTr="00297CFE">
        <w:trPr>
          <w:trHeight w:val="495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Горно Маричино езеро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Маричини езера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Марица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Биомаса, mm3/l: 0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.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139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В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ГИ: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0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.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99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EQR: 0.99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8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н.п.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н.п.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Зарибено;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Отлични условия за пъстървови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Ултра-олиготрофни условия; Зарибено със сивен, който вероятно се размножава; Отлично ЕС по ФП; МФ и МЗБ практически липсват в литоралната зона.</w:t>
            </w:r>
          </w:p>
        </w:tc>
      </w:tr>
      <w:tr w:rsidR="00B165AC" w:rsidRPr="00B165AC" w:rsidTr="00297CFE">
        <w:trPr>
          <w:trHeight w:val="9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Долно Маричино езеро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Маричини езера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Марица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Биомаса, mm3/l: 0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.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293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В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ГИ: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0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.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86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EQR: 0.99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8 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н.п.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н.п.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Зарибено;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Отлични условия за пъстървови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Олиготрофни условия; Зарибено със сивен, който вероятно се размножава; Отлично ЕС по ФП; МФ и МЗБ практически липсват в литоралната зона.</w:t>
            </w:r>
          </w:p>
        </w:tc>
      </w:tr>
      <w:tr w:rsidR="00B165AC" w:rsidRPr="00B165AC" w:rsidTr="00297CFE">
        <w:trPr>
          <w:trHeight w:val="9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ез. Грънчар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Грънчарски езера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Ропалица (Грънчарска), Места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Биомаса, mm3/l: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0.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643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В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ГИ: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.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47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EQR: 0.99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Добро ЕС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Добро ЕС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Зарибено,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Добри условия за пъстървови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Добро ЕС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Начално степен на еутрофизация на езерото (по бентосни нишковидни водорасли, ФП и МФ); Финни утайки от детрит; Езерото е регулирано с ниска каменна стена.</w:t>
            </w:r>
          </w:p>
        </w:tc>
      </w:tr>
      <w:tr w:rsidR="00B165AC" w:rsidRPr="00B165AC" w:rsidTr="00297CFE">
        <w:trPr>
          <w:trHeight w:val="9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Реджепско (Скалишко) ез.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Реджепски (Скалишки) езера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Реджепица (Скалишка р.), Места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Биомаса, mm3/l: 1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.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332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В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ГИ: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lastRenderedPageBreak/>
              <w:t>0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.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51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EQR: 0.99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9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lastRenderedPageBreak/>
              <w:t>н.п.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Зарибено;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Отлични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lastRenderedPageBreak/>
              <w:t>условия за пъстървови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lastRenderedPageBreak/>
              <w:t>Отлично 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Слабо посещавано езеро от туристи; Нелегално зарибено със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lastRenderedPageBreak/>
              <w:t>сивени; Липсват МФ; Отлично ЕС. Установен е консервационно значимия вид алпийски тритон (</w:t>
            </w:r>
            <w:r w:rsidRPr="00B165AC">
              <w:rPr>
                <w:rFonts w:ascii="Century Gothic" w:eastAsia="Times New Roman" w:hAnsi="Century Gothic"/>
                <w:i/>
                <w:color w:val="000000"/>
                <w:sz w:val="20"/>
                <w:szCs w:val="20"/>
                <w:lang w:eastAsia="bg-BG"/>
              </w:rPr>
              <w:t>Ichthyosaura alpestris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) в езерото.</w:t>
            </w:r>
          </w:p>
        </w:tc>
      </w:tr>
      <w:tr w:rsidR="00B165AC" w:rsidRPr="00B165AC" w:rsidTr="00297CFE">
        <w:trPr>
          <w:trHeight w:val="211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lastRenderedPageBreak/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яз. Карагьол (яз. Черното ез.)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Карагьолски езера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Дупнишка Бистрица, Струма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Биомаса, mm3/l: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0.48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В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ГИ: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 0.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56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EQR: 0.99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н.п.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н.п.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н.п.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Максимален ЕП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Максимален ЕП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Приема се за отличен ЕП (МЕП), заради високото качество на водите и олиготрофните условия; Силни вариации на водното ниво поради стопанското използване на водите за ВЕЦ и питейни нужди; Липсват повечето БЕК – МФ, МЗБ и рибна фауна!</w:t>
            </w:r>
          </w:p>
        </w:tc>
      </w:tr>
      <w:tr w:rsidR="00B165AC" w:rsidRPr="00B165AC" w:rsidTr="00297CFE">
        <w:trPr>
          <w:trHeight w:val="9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Бъбрека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Седемте Рилски езера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Джерман, Струма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Биомаса, mm3/l: 1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.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375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В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ГИ: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2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.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68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EQR: 0.99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н.п.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Добро ЕС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Зарибено;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Отлични условия за пъстървови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Умерено ЕС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Интензивна туристическа преса; Приема се за умерено ЕС, заради ФП параметри – начални степени на еутрофикация;</w:t>
            </w:r>
          </w:p>
        </w:tc>
      </w:tr>
      <w:tr w:rsidR="00B165AC" w:rsidRPr="00B165AC" w:rsidTr="00297CFE">
        <w:trPr>
          <w:trHeight w:val="9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Близнака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Седемте Рилски езера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Джерман, Струма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Биомаса, mm3/l: 1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.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343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В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ГИ: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3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.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19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EQR: 0.99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н.п.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Зарибено;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Отлични условия за пъстървови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Умерено ЕС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Интензивна туристическа преса; Приема се за умерено ЕС, заради ФП параметри – начални степени на еутрофикация особено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lastRenderedPageBreak/>
              <w:t>в плитките части;</w:t>
            </w:r>
          </w:p>
        </w:tc>
      </w:tr>
      <w:tr w:rsidR="00B165AC" w:rsidRPr="00B165AC" w:rsidTr="00297CFE">
        <w:trPr>
          <w:trHeight w:val="9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lastRenderedPageBreak/>
              <w:t>16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Трилистника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Седемте Рилски езера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Джерман, Струма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Биомаса, mm3/l: 1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.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452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В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ГИ: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3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.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16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EQR: 0.99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2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Умерено ЕС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Умерено ЕС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Зарибено;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Отлични условия за пъстървови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Умерено ЕС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Интензивна туристическа преса; Умерено ЕС, заради ФП и интензивното развитие на нишковидни бентосни водорасли (</w:t>
            </w:r>
            <w:proofErr w:type="spellStart"/>
            <w:r w:rsidRPr="00B165AC">
              <w:rPr>
                <w:rFonts w:ascii="Century Gothic" w:eastAsia="Times New Roman" w:hAnsi="Century Gothic"/>
                <w:i/>
                <w:color w:val="000000"/>
                <w:sz w:val="20"/>
                <w:szCs w:val="20"/>
                <w:lang w:val="en-US" w:eastAsia="bg-BG"/>
              </w:rPr>
              <w:t>Cladophora</w:t>
            </w:r>
            <w:proofErr w:type="spellEnd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)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, </w:t>
            </w:r>
            <w:proofErr w:type="spellStart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натрупване</w:t>
            </w:r>
            <w:proofErr w:type="spellEnd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 на органичен детрит и гниене в някои части на езерото. Регулиране с ниска каменна стена.</w:t>
            </w:r>
          </w:p>
        </w:tc>
      </w:tr>
      <w:tr w:rsidR="00B165AC" w:rsidRPr="00B165AC" w:rsidTr="00297CFE">
        <w:trPr>
          <w:trHeight w:val="9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Рибното езеро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Седемте Рилски езера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Джерман, Струма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Биомаса, mm3/l: 0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.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583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В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ГИ: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.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63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EQR: 0.99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6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Умерено ЕС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Умерено ЕС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Зарибено;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Отлични условия за пъстървови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Отлично 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Умерено ЕС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Интензивна туристическа преса; Умерено ЕС основно заради развитието на МФ обраствания на големи площи (</w:t>
            </w:r>
            <w:proofErr w:type="spellStart"/>
            <w:r w:rsidRPr="00B165AC">
              <w:rPr>
                <w:rFonts w:ascii="Century Gothic" w:eastAsia="Times New Roman" w:hAnsi="Century Gothic"/>
                <w:i/>
                <w:color w:val="000000"/>
                <w:sz w:val="20"/>
                <w:szCs w:val="20"/>
                <w:lang w:val="en-US" w:eastAsia="bg-BG"/>
              </w:rPr>
              <w:t>Sparganium</w:t>
            </w:r>
            <w:proofErr w:type="spellEnd"/>
            <w:r w:rsidRPr="00B165AC">
              <w:rPr>
                <w:rFonts w:ascii="Century Gothic" w:eastAsia="Times New Roman" w:hAnsi="Century Gothic"/>
                <w:i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proofErr w:type="spellStart"/>
            <w:r w:rsidRPr="00B165AC">
              <w:rPr>
                <w:rFonts w:ascii="Century Gothic" w:eastAsia="Times New Roman" w:hAnsi="Century Gothic"/>
                <w:i/>
                <w:color w:val="000000"/>
                <w:sz w:val="20"/>
                <w:szCs w:val="20"/>
                <w:lang w:val="en-US" w:eastAsia="bg-BG"/>
              </w:rPr>
              <w:t>angustifolium</w:t>
            </w:r>
            <w:proofErr w:type="spellEnd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) и натрупването на органичен детрит по дъното.</w:t>
            </w:r>
          </w:p>
        </w:tc>
      </w:tr>
      <w:tr w:rsidR="00B165AC" w:rsidRPr="00B165AC" w:rsidTr="00297CFE">
        <w:trPr>
          <w:trHeight w:val="90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Долното езеро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Седемте Рилски езера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Джерман, Струма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Биомаса, mm3/l: 0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.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854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В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ГИ: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0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.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49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US" w:eastAsia="bg-BG"/>
              </w:rPr>
              <w:t>EQR: 0.99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Умерено ЕС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Умерено ЕС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Зарибено;</w:t>
            </w:r>
          </w:p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Отлични условия за пъстървов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lastRenderedPageBreak/>
              <w:t>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B165AC" w:rsidRPr="00B165AC" w:rsidRDefault="00B165AC" w:rsidP="00297C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lastRenderedPageBreak/>
              <w:t>Отлично ЕС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165AC" w:rsidRPr="00B165AC" w:rsidRDefault="00B165AC" w:rsidP="00297CFE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b/>
                <w:color w:val="000000"/>
                <w:sz w:val="20"/>
                <w:szCs w:val="20"/>
                <w:lang w:eastAsia="bg-BG"/>
              </w:rPr>
              <w:t>Умерено ЕС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65AC" w:rsidRPr="00B165AC" w:rsidRDefault="00B165AC" w:rsidP="00297CFE">
            <w:pPr>
              <w:spacing w:after="0" w:line="240" w:lineRule="auto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</w:pP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 xml:space="preserve">Интензивна туристическа преса; Умерено ЕС основно заради развитието на МФ обраствания на големи площи </w:t>
            </w:r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lastRenderedPageBreak/>
              <w:t>(</w:t>
            </w:r>
            <w:proofErr w:type="spellStart"/>
            <w:r w:rsidRPr="00B165AC">
              <w:rPr>
                <w:rFonts w:ascii="Century Gothic" w:eastAsia="Times New Roman" w:hAnsi="Century Gothic"/>
                <w:i/>
                <w:color w:val="000000"/>
                <w:sz w:val="20"/>
                <w:szCs w:val="20"/>
                <w:lang w:val="en-US" w:eastAsia="bg-BG"/>
              </w:rPr>
              <w:t>Sparganium</w:t>
            </w:r>
            <w:proofErr w:type="spellEnd"/>
            <w:r w:rsidRPr="00B165AC">
              <w:rPr>
                <w:rFonts w:ascii="Century Gothic" w:eastAsia="Times New Roman" w:hAnsi="Century Gothic"/>
                <w:i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proofErr w:type="spellStart"/>
            <w:r w:rsidRPr="00B165AC">
              <w:rPr>
                <w:rFonts w:ascii="Century Gothic" w:eastAsia="Times New Roman" w:hAnsi="Century Gothic"/>
                <w:i/>
                <w:color w:val="000000"/>
                <w:sz w:val="20"/>
                <w:szCs w:val="20"/>
                <w:lang w:val="en-US" w:eastAsia="bg-BG"/>
              </w:rPr>
              <w:t>angustifolium</w:t>
            </w:r>
            <w:proofErr w:type="spellEnd"/>
            <w:r w:rsidRPr="00B165AC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bg-BG"/>
              </w:rPr>
              <w:t>) и натрупването на органичен детрит по дъното в някои части.</w:t>
            </w:r>
          </w:p>
        </w:tc>
      </w:tr>
    </w:tbl>
    <w:p w:rsidR="00B165AC" w:rsidRPr="00B165AC" w:rsidRDefault="00B165AC" w:rsidP="00B165AC">
      <w:pPr>
        <w:spacing w:after="0" w:line="240" w:lineRule="auto"/>
        <w:jc w:val="both"/>
        <w:textAlignment w:val="baseline"/>
        <w:rPr>
          <w:rFonts w:ascii="Century Gothic" w:hAnsi="Century Gothic"/>
          <w:sz w:val="20"/>
          <w:szCs w:val="20"/>
        </w:rPr>
      </w:pPr>
    </w:p>
    <w:p w:rsidR="00B165AC" w:rsidRPr="00B165AC" w:rsidRDefault="00B165AC" w:rsidP="00B165AC">
      <w:pPr>
        <w:spacing w:before="120"/>
        <w:jc w:val="both"/>
        <w:rPr>
          <w:rFonts w:ascii="Century Gothic" w:hAnsi="Century Gothic"/>
          <w:sz w:val="20"/>
          <w:szCs w:val="20"/>
        </w:rPr>
        <w:sectPr w:rsidR="00B165AC" w:rsidRPr="00B165AC" w:rsidSect="0095118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 w:rsidRPr="00B165AC">
        <w:rPr>
          <w:rFonts w:ascii="Century Gothic" w:hAnsi="Century Gothic"/>
          <w:sz w:val="20"/>
          <w:szCs w:val="20"/>
          <w:u w:val="single"/>
        </w:rPr>
        <w:t>Забележка</w:t>
      </w:r>
      <w:r w:rsidRPr="00B165AC">
        <w:rPr>
          <w:rFonts w:ascii="Century Gothic" w:hAnsi="Century Gothic"/>
          <w:sz w:val="20"/>
          <w:szCs w:val="20"/>
        </w:rPr>
        <w:t>: Много от биологичните елементи за качество (БЕК) с изключение на фитопланктон (ФП) не са представителни за олиготрофните и ултра олиготрофни условия на алпийските глациални езера от тип L1.</w:t>
      </w:r>
      <w:r w:rsidRPr="00B165AC">
        <w:rPr>
          <w:rFonts w:ascii="Century Gothic" w:hAnsi="Century Gothic"/>
          <w:sz w:val="20"/>
          <w:szCs w:val="20"/>
          <w:lang w:val="en-US"/>
        </w:rPr>
        <w:t xml:space="preserve"> </w:t>
      </w:r>
      <w:proofErr w:type="spellStart"/>
      <w:r w:rsidRPr="00B165AC">
        <w:rPr>
          <w:rFonts w:ascii="Century Gothic" w:hAnsi="Century Gothic"/>
          <w:sz w:val="20"/>
          <w:szCs w:val="20"/>
          <w:lang w:val="en-US"/>
        </w:rPr>
        <w:t>Такива</w:t>
      </w:r>
      <w:proofErr w:type="spellEnd"/>
      <w:r w:rsidRPr="00B165AC">
        <w:rPr>
          <w:rFonts w:ascii="Century Gothic" w:hAnsi="Century Gothic"/>
          <w:sz w:val="20"/>
          <w:szCs w:val="20"/>
          <w:lang w:val="en-US"/>
        </w:rPr>
        <w:t xml:space="preserve"> БЕК </w:t>
      </w:r>
      <w:proofErr w:type="spellStart"/>
      <w:r w:rsidRPr="00B165AC">
        <w:rPr>
          <w:rFonts w:ascii="Century Gothic" w:hAnsi="Century Gothic"/>
          <w:sz w:val="20"/>
          <w:szCs w:val="20"/>
          <w:lang w:val="en-US"/>
        </w:rPr>
        <w:t>със</w:t>
      </w:r>
      <w:proofErr w:type="spellEnd"/>
      <w:r w:rsidRPr="00B165AC">
        <w:rPr>
          <w:rFonts w:ascii="Century Gothic" w:hAnsi="Century Gothic"/>
          <w:sz w:val="20"/>
          <w:szCs w:val="20"/>
          <w:lang w:val="en-US"/>
        </w:rPr>
        <w:t xml:space="preserve"> </w:t>
      </w:r>
      <w:proofErr w:type="spellStart"/>
      <w:r w:rsidRPr="00B165AC">
        <w:rPr>
          <w:rFonts w:ascii="Century Gothic" w:hAnsi="Century Gothic"/>
          <w:sz w:val="20"/>
          <w:szCs w:val="20"/>
          <w:lang w:val="en-US"/>
        </w:rPr>
        <w:t>спомагателна</w:t>
      </w:r>
      <w:proofErr w:type="spellEnd"/>
      <w:r w:rsidRPr="00B165AC">
        <w:rPr>
          <w:rFonts w:ascii="Century Gothic" w:hAnsi="Century Gothic"/>
          <w:sz w:val="20"/>
          <w:szCs w:val="20"/>
          <w:lang w:val="en-US"/>
        </w:rPr>
        <w:t xml:space="preserve"> </w:t>
      </w:r>
      <w:proofErr w:type="spellStart"/>
      <w:r w:rsidRPr="00B165AC">
        <w:rPr>
          <w:rFonts w:ascii="Century Gothic" w:hAnsi="Century Gothic"/>
          <w:sz w:val="20"/>
          <w:szCs w:val="20"/>
          <w:lang w:val="en-US"/>
        </w:rPr>
        <w:t>рола</w:t>
      </w:r>
      <w:proofErr w:type="spellEnd"/>
      <w:r w:rsidRPr="00B165AC">
        <w:rPr>
          <w:rFonts w:ascii="Century Gothic" w:hAnsi="Century Gothic"/>
          <w:sz w:val="20"/>
          <w:szCs w:val="20"/>
          <w:lang w:val="en-US"/>
        </w:rPr>
        <w:t xml:space="preserve"> </w:t>
      </w:r>
      <w:proofErr w:type="spellStart"/>
      <w:r w:rsidRPr="00B165AC">
        <w:rPr>
          <w:rFonts w:ascii="Century Gothic" w:hAnsi="Century Gothic"/>
          <w:sz w:val="20"/>
          <w:szCs w:val="20"/>
          <w:lang w:val="en-US"/>
        </w:rPr>
        <w:t>са</w:t>
      </w:r>
      <w:proofErr w:type="spellEnd"/>
      <w:r w:rsidRPr="00B165AC">
        <w:rPr>
          <w:rFonts w:ascii="Century Gothic" w:hAnsi="Century Gothic"/>
          <w:sz w:val="20"/>
          <w:szCs w:val="20"/>
          <w:lang w:val="en-US"/>
        </w:rPr>
        <w:t xml:space="preserve"> </w:t>
      </w:r>
      <w:proofErr w:type="spellStart"/>
      <w:r w:rsidRPr="00B165AC">
        <w:rPr>
          <w:rFonts w:ascii="Century Gothic" w:hAnsi="Century Gothic"/>
          <w:sz w:val="20"/>
          <w:szCs w:val="20"/>
          <w:lang w:val="en-US"/>
        </w:rPr>
        <w:t>следните</w:t>
      </w:r>
      <w:proofErr w:type="spellEnd"/>
      <w:r w:rsidRPr="00B165AC">
        <w:rPr>
          <w:rFonts w:ascii="Century Gothic" w:hAnsi="Century Gothic"/>
          <w:sz w:val="20"/>
          <w:szCs w:val="20"/>
          <w:lang w:val="en-US"/>
        </w:rPr>
        <w:t xml:space="preserve">: </w:t>
      </w:r>
      <w:r w:rsidRPr="00B165AC">
        <w:rPr>
          <w:rFonts w:ascii="Century Gothic" w:hAnsi="Century Gothic"/>
          <w:sz w:val="20"/>
          <w:szCs w:val="20"/>
        </w:rPr>
        <w:t>(1) Макрофитна водна флора (МФ) – с изключение на случаите на свръх-развитие/обраствания с водни МФ (</w:t>
      </w:r>
      <w:proofErr w:type="spellStart"/>
      <w:r w:rsidRPr="00B165AC">
        <w:rPr>
          <w:rFonts w:ascii="Century Gothic" w:hAnsi="Century Gothic"/>
          <w:i/>
          <w:sz w:val="20"/>
          <w:szCs w:val="20"/>
          <w:lang w:val="en-US"/>
        </w:rPr>
        <w:t>Sparganium</w:t>
      </w:r>
      <w:proofErr w:type="spellEnd"/>
      <w:r w:rsidRPr="00B165AC">
        <w:rPr>
          <w:rFonts w:ascii="Century Gothic" w:hAnsi="Century Gothic"/>
          <w:i/>
          <w:sz w:val="20"/>
          <w:szCs w:val="20"/>
          <w:lang w:val="en-US"/>
        </w:rPr>
        <w:t xml:space="preserve"> </w:t>
      </w:r>
      <w:proofErr w:type="spellStart"/>
      <w:r w:rsidRPr="00B165AC">
        <w:rPr>
          <w:rFonts w:ascii="Century Gothic" w:hAnsi="Century Gothic"/>
          <w:i/>
          <w:sz w:val="20"/>
          <w:szCs w:val="20"/>
          <w:lang w:val="en-US"/>
        </w:rPr>
        <w:t>angustifolium</w:t>
      </w:r>
      <w:proofErr w:type="spellEnd"/>
      <w:r w:rsidRPr="00B165AC">
        <w:rPr>
          <w:rFonts w:ascii="Century Gothic" w:hAnsi="Century Gothic"/>
          <w:i/>
          <w:sz w:val="20"/>
          <w:szCs w:val="20"/>
          <w:lang w:val="en-US"/>
        </w:rPr>
        <w:t xml:space="preserve">, </w:t>
      </w:r>
      <w:proofErr w:type="spellStart"/>
      <w:r w:rsidRPr="00B165AC">
        <w:rPr>
          <w:rFonts w:ascii="Century Gothic" w:hAnsi="Century Gothic"/>
          <w:i/>
          <w:sz w:val="20"/>
          <w:szCs w:val="20"/>
          <w:lang w:val="en-US"/>
        </w:rPr>
        <w:t>Cladophora</w:t>
      </w:r>
      <w:proofErr w:type="spellEnd"/>
      <w:r w:rsidRPr="00B165AC">
        <w:rPr>
          <w:rFonts w:ascii="Century Gothic" w:hAnsi="Century Gothic"/>
          <w:sz w:val="20"/>
          <w:szCs w:val="20"/>
        </w:rPr>
        <w:t>); (2) Макрозообентос/дънна макробезгръбначна фауна (МЗБ) – с изключение на случаите, когато е комбинирано със сериозно натрупване на детрит (финни органични седименти) на дъното; (3) Рибна фауна – във всички случаи е обект на изкуствени зарибявания. Трябва да се внимава с оценките по ФП и физико-химия, тъй като те изискват по-дълги редици от сезонни данни (минимум 4 пъти измервания в годината).</w:t>
      </w:r>
    </w:p>
    <w:p w:rsidR="006C4286" w:rsidRPr="00B165AC" w:rsidRDefault="006C4286">
      <w:pPr>
        <w:rPr>
          <w:rFonts w:ascii="Century Gothic" w:hAnsi="Century Gothic"/>
          <w:sz w:val="20"/>
          <w:szCs w:val="20"/>
        </w:rPr>
      </w:pPr>
    </w:p>
    <w:sectPr w:rsidR="006C4286" w:rsidRPr="00B165AC" w:rsidSect="00B165AC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4AC" w:rsidRDefault="009D54AC" w:rsidP="000E1FF0">
      <w:pPr>
        <w:spacing w:after="0" w:line="240" w:lineRule="auto"/>
      </w:pPr>
      <w:r>
        <w:separator/>
      </w:r>
    </w:p>
  </w:endnote>
  <w:endnote w:type="continuationSeparator" w:id="0">
    <w:p w:rsidR="009D54AC" w:rsidRDefault="009D54AC" w:rsidP="000E1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FF0" w:rsidRDefault="000E1FF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9514379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1" w:name="_GoBack" w:displacedByCustomXml="prev"/>
      <w:bookmarkEnd w:id="1" w:displacedByCustomXml="prev"/>
      <w:p w:rsidR="000E1FF0" w:rsidRDefault="000E1FF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E1FF0" w:rsidRDefault="000E1FF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FF0" w:rsidRDefault="000E1F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4AC" w:rsidRDefault="009D54AC" w:rsidP="000E1FF0">
      <w:pPr>
        <w:spacing w:after="0" w:line="240" w:lineRule="auto"/>
      </w:pPr>
      <w:r>
        <w:separator/>
      </w:r>
    </w:p>
  </w:footnote>
  <w:footnote w:type="continuationSeparator" w:id="0">
    <w:p w:rsidR="009D54AC" w:rsidRDefault="009D54AC" w:rsidP="000E1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FF0" w:rsidRDefault="000E1FF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FF0" w:rsidRDefault="000E1FF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FF0" w:rsidRDefault="000E1FF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5AC"/>
    <w:rsid w:val="000E1FF0"/>
    <w:rsid w:val="006C4286"/>
    <w:rsid w:val="009D54AC"/>
    <w:rsid w:val="00B165AC"/>
    <w:rsid w:val="00F0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5AC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6760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676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06760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0676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NoSpacing">
    <w:name w:val="No Spacing"/>
    <w:uiPriority w:val="1"/>
    <w:qFormat/>
    <w:rsid w:val="00F06760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E1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1FF0"/>
    <w:rPr>
      <w:rFonts w:ascii="Calibri" w:eastAsia="Calibri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E1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1FF0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5AC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6760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676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06760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0676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NoSpacing">
    <w:name w:val="No Spacing"/>
    <w:uiPriority w:val="1"/>
    <w:qFormat/>
    <w:rsid w:val="00F06760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E1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1FF0"/>
    <w:rPr>
      <w:rFonts w:ascii="Calibri" w:eastAsia="Calibri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E1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1FF0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2054</Words>
  <Characters>11714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AGaneva</dc:creator>
  <cp:lastModifiedBy>AGaneva</cp:lastModifiedBy>
  <cp:revision>2</cp:revision>
  <dcterms:created xsi:type="dcterms:W3CDTF">2015-08-16T09:16:00Z</dcterms:created>
  <dcterms:modified xsi:type="dcterms:W3CDTF">2015-10-17T18:14:00Z</dcterms:modified>
</cp:coreProperties>
</file>